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E0" w:rsidRDefault="005959E0" w:rsidP="005959E0">
      <w:pPr>
        <w:pStyle w:val="2"/>
        <w:jc w:val="center"/>
        <w:rPr>
          <w:sz w:val="24"/>
          <w:szCs w:val="24"/>
        </w:rPr>
      </w:pPr>
      <w:r w:rsidRPr="005959E0">
        <w:rPr>
          <w:noProof/>
          <w:sz w:val="24"/>
          <w:szCs w:val="24"/>
          <w:lang w:eastAsia="ru-RU"/>
        </w:rPr>
        <w:drawing>
          <wp:inline distT="0" distB="0" distL="0" distR="0">
            <wp:extent cx="666750" cy="752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9571"/>
      </w:tblGrid>
      <w:tr w:rsidR="005959E0" w:rsidRPr="00E001A5" w:rsidTr="00B57824">
        <w:tc>
          <w:tcPr>
            <w:tcW w:w="95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959E0" w:rsidRPr="00E001A5" w:rsidRDefault="005959E0" w:rsidP="00B57824">
            <w:pPr>
              <w:pStyle w:val="ConsTitle"/>
              <w:widowControl/>
              <w:ind w:right="0" w:firstLine="70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001A5">
              <w:rPr>
                <w:rFonts w:ascii="Times New Roman" w:hAnsi="Times New Roman" w:cs="Times New Roman"/>
                <w:noProof/>
                <w:sz w:val="24"/>
                <w:szCs w:val="24"/>
              </w:rPr>
              <w:t>СОВЕТ  ДЕПУТАТОВ</w:t>
            </w:r>
          </w:p>
        </w:tc>
      </w:tr>
      <w:tr w:rsidR="005959E0" w:rsidRPr="00E001A5" w:rsidTr="00B57824">
        <w:tc>
          <w:tcPr>
            <w:tcW w:w="95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959E0" w:rsidRPr="00E001A5" w:rsidRDefault="005959E0" w:rsidP="00B57824">
            <w:pPr>
              <w:pStyle w:val="ConsTitle"/>
              <w:widowControl/>
              <w:ind w:righ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A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5959E0" w:rsidRPr="00E001A5" w:rsidRDefault="005959E0" w:rsidP="00B57824">
            <w:pPr>
              <w:pStyle w:val="ConsTitle"/>
              <w:widowControl/>
              <w:ind w:righ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1A5">
              <w:rPr>
                <w:rFonts w:ascii="Times New Roman" w:hAnsi="Times New Roman" w:cs="Times New Roman"/>
                <w:sz w:val="24"/>
                <w:szCs w:val="24"/>
              </w:rPr>
              <w:t>ГОРОДСКОЕ ПОСЕЛЕНИЕ «ГОРОД ГУСИНООЗЕРСК»</w:t>
            </w:r>
          </w:p>
        </w:tc>
      </w:tr>
    </w:tbl>
    <w:p w:rsidR="005959E0" w:rsidRPr="00F354BD" w:rsidRDefault="005959E0" w:rsidP="005959E0">
      <w:pPr>
        <w:jc w:val="center"/>
        <w:rPr>
          <w:rFonts w:ascii="Times New Roman" w:hAnsi="Times New Roman" w:cs="Times New Roman"/>
          <w:b/>
          <w:sz w:val="24"/>
        </w:rPr>
      </w:pPr>
      <w:r w:rsidRPr="00F354BD">
        <w:rPr>
          <w:rFonts w:ascii="Times New Roman" w:hAnsi="Times New Roman" w:cs="Times New Roman"/>
          <w:b/>
          <w:sz w:val="24"/>
        </w:rPr>
        <w:t>РЕВИЗИОННАЯ КОМИССИЯ</w:t>
      </w:r>
    </w:p>
    <w:p w:rsidR="005959E0" w:rsidRPr="00D027BC" w:rsidRDefault="005959E0" w:rsidP="005959E0">
      <w:pPr>
        <w:rPr>
          <w:szCs w:val="28"/>
        </w:rPr>
      </w:pPr>
    </w:p>
    <w:p w:rsidR="005959E0" w:rsidRDefault="005959E0" w:rsidP="005959E0">
      <w:pPr>
        <w:widowControl w:val="0"/>
      </w:pPr>
    </w:p>
    <w:p w:rsidR="005959E0" w:rsidRDefault="005959E0" w:rsidP="005959E0">
      <w:pPr>
        <w:widowControl w:val="0"/>
      </w:pPr>
    </w:p>
    <w:p w:rsidR="005959E0" w:rsidRDefault="005959E0" w:rsidP="005959E0">
      <w:pPr>
        <w:widowControl w:val="0"/>
      </w:pPr>
    </w:p>
    <w:p w:rsidR="005959E0" w:rsidRDefault="005959E0" w:rsidP="005959E0">
      <w:pPr>
        <w:widowControl w:val="0"/>
      </w:pPr>
    </w:p>
    <w:p w:rsidR="005959E0" w:rsidRPr="00F354BD" w:rsidRDefault="005959E0" w:rsidP="005959E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F354BD">
        <w:rPr>
          <w:rFonts w:ascii="Times New Roman" w:hAnsi="Times New Roman" w:cs="Times New Roman"/>
          <w:b/>
          <w:bCs/>
          <w:sz w:val="28"/>
          <w:szCs w:val="28"/>
        </w:rPr>
        <w:t xml:space="preserve">СТАНДАРТ ВНЕШНЕГО МУНИЦИПАЛЬНОГО ФИНАНСОВОГО КОНТРОЛЯ </w:t>
      </w:r>
    </w:p>
    <w:p w:rsidR="005959E0" w:rsidRDefault="005959E0" w:rsidP="005959E0">
      <w:pPr>
        <w:widowControl w:val="0"/>
        <w:jc w:val="center"/>
      </w:pPr>
    </w:p>
    <w:p w:rsidR="005959E0" w:rsidRDefault="005959E0" w:rsidP="005959E0">
      <w:pPr>
        <w:widowControl w:val="0"/>
        <w:jc w:val="center"/>
        <w:rPr>
          <w:rFonts w:ascii="Times New Roman" w:hAnsi="Times New Roman" w:cs="Times New Roman"/>
        </w:rPr>
      </w:pPr>
    </w:p>
    <w:p w:rsidR="005959E0" w:rsidRPr="006C5F56" w:rsidRDefault="005959E0" w:rsidP="005959E0">
      <w:pPr>
        <w:widowControl w:val="0"/>
        <w:jc w:val="center"/>
        <w:rPr>
          <w:rFonts w:ascii="Times New Roman" w:hAnsi="Times New Roman" w:cs="Times New Roman"/>
        </w:rPr>
      </w:pPr>
    </w:p>
    <w:p w:rsidR="005959E0" w:rsidRPr="00F354BD" w:rsidRDefault="005959E0" w:rsidP="005959E0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354BD">
        <w:rPr>
          <w:rFonts w:ascii="Times New Roman" w:hAnsi="Times New Roman" w:cs="Times New Roman"/>
          <w:bCs/>
          <w:caps/>
          <w:sz w:val="28"/>
          <w:szCs w:val="28"/>
        </w:rPr>
        <w:t xml:space="preserve"> «</w:t>
      </w:r>
      <w:r w:rsidRPr="00F354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ФИНАНСОВО-ЭКОНОМИЧЕСКАЯ ЭКСПЕРТИЗА ПРОЕКТОВ МУНИЦИПАЛЬНЫХ ПРОГРАММ</w:t>
      </w:r>
      <w:r w:rsidRPr="00F354BD">
        <w:rPr>
          <w:rFonts w:ascii="Times New Roman" w:hAnsi="Times New Roman" w:cs="Times New Roman"/>
          <w:bCs/>
          <w:caps/>
          <w:sz w:val="28"/>
          <w:szCs w:val="28"/>
        </w:rPr>
        <w:t>»</w:t>
      </w:r>
    </w:p>
    <w:p w:rsidR="005959E0" w:rsidRPr="006C5F56" w:rsidRDefault="005959E0" w:rsidP="005959E0">
      <w:pPr>
        <w:jc w:val="right"/>
      </w:pPr>
    </w:p>
    <w:p w:rsidR="005959E0" w:rsidRPr="006C5F56" w:rsidRDefault="005959E0" w:rsidP="005959E0">
      <w:pPr>
        <w:jc w:val="right"/>
      </w:pPr>
    </w:p>
    <w:p w:rsidR="005959E0" w:rsidRDefault="005959E0" w:rsidP="005959E0">
      <w:pPr>
        <w:jc w:val="right"/>
      </w:pPr>
    </w:p>
    <w:p w:rsidR="005959E0" w:rsidRPr="00F354BD" w:rsidRDefault="005959E0" w:rsidP="005959E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354BD">
        <w:rPr>
          <w:rFonts w:ascii="Times New Roman" w:hAnsi="Times New Roman" w:cs="Times New Roman"/>
          <w:sz w:val="26"/>
          <w:szCs w:val="26"/>
        </w:rPr>
        <w:t xml:space="preserve">  Утверждён: </w:t>
      </w:r>
    </w:p>
    <w:p w:rsidR="00CF1732" w:rsidRDefault="00CF1732" w:rsidP="005959E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Руководителем ревизионной</w:t>
      </w:r>
    </w:p>
    <w:p w:rsidR="005959E0" w:rsidRPr="00F354BD" w:rsidRDefault="00CF1732" w:rsidP="005959E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515B6B">
        <w:rPr>
          <w:rFonts w:ascii="Times New Roman" w:hAnsi="Times New Roman" w:cs="Times New Roman"/>
          <w:sz w:val="26"/>
          <w:szCs w:val="26"/>
        </w:rPr>
        <w:t>Совета депутатов</w:t>
      </w:r>
    </w:p>
    <w:p w:rsidR="005959E0" w:rsidRPr="00F354BD" w:rsidRDefault="005959E0" w:rsidP="005959E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354BD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5959E0" w:rsidRPr="00F354BD" w:rsidRDefault="005959E0" w:rsidP="005959E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354BD">
        <w:rPr>
          <w:rFonts w:ascii="Times New Roman" w:hAnsi="Times New Roman" w:cs="Times New Roman"/>
          <w:sz w:val="26"/>
          <w:szCs w:val="26"/>
        </w:rPr>
        <w:t xml:space="preserve">городское поселение </w:t>
      </w:r>
    </w:p>
    <w:p w:rsidR="005959E0" w:rsidRPr="00F354BD" w:rsidRDefault="005959E0" w:rsidP="005959E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354BD">
        <w:rPr>
          <w:rFonts w:ascii="Times New Roman" w:hAnsi="Times New Roman" w:cs="Times New Roman"/>
          <w:sz w:val="26"/>
          <w:szCs w:val="26"/>
        </w:rPr>
        <w:t>«Город Гусиноозерск»</w:t>
      </w:r>
    </w:p>
    <w:p w:rsidR="005959E0" w:rsidRPr="00F354BD" w:rsidRDefault="005959E0" w:rsidP="005959E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354BD">
        <w:rPr>
          <w:rFonts w:ascii="Times New Roman" w:hAnsi="Times New Roman" w:cs="Times New Roman"/>
          <w:sz w:val="26"/>
          <w:szCs w:val="26"/>
        </w:rPr>
        <w:t>«</w:t>
      </w:r>
      <w:r w:rsidR="00515B6B">
        <w:rPr>
          <w:rFonts w:ascii="Times New Roman" w:hAnsi="Times New Roman" w:cs="Times New Roman"/>
          <w:sz w:val="26"/>
          <w:szCs w:val="26"/>
        </w:rPr>
        <w:t>30</w:t>
      </w:r>
      <w:r w:rsidRPr="00F354BD">
        <w:rPr>
          <w:rFonts w:ascii="Times New Roman" w:hAnsi="Times New Roman" w:cs="Times New Roman"/>
          <w:sz w:val="26"/>
          <w:szCs w:val="26"/>
        </w:rPr>
        <w:t xml:space="preserve">» </w:t>
      </w:r>
      <w:r w:rsidR="00515B6B">
        <w:rPr>
          <w:rFonts w:ascii="Times New Roman" w:hAnsi="Times New Roman" w:cs="Times New Roman"/>
          <w:sz w:val="26"/>
          <w:szCs w:val="26"/>
        </w:rPr>
        <w:t>января</w:t>
      </w:r>
      <w:r w:rsidR="00F64E3A">
        <w:rPr>
          <w:rFonts w:ascii="Times New Roman" w:hAnsi="Times New Roman" w:cs="Times New Roman"/>
          <w:sz w:val="26"/>
          <w:szCs w:val="26"/>
        </w:rPr>
        <w:t xml:space="preserve"> </w:t>
      </w:r>
      <w:r w:rsidRPr="00F354BD">
        <w:rPr>
          <w:rFonts w:ascii="Times New Roman" w:hAnsi="Times New Roman" w:cs="Times New Roman"/>
          <w:sz w:val="26"/>
          <w:szCs w:val="26"/>
        </w:rPr>
        <w:t>201</w:t>
      </w:r>
      <w:r w:rsidR="00515B6B">
        <w:rPr>
          <w:rFonts w:ascii="Times New Roman" w:hAnsi="Times New Roman" w:cs="Times New Roman"/>
          <w:sz w:val="26"/>
          <w:szCs w:val="26"/>
        </w:rPr>
        <w:t>7</w:t>
      </w:r>
      <w:r w:rsidRPr="00F354BD">
        <w:rPr>
          <w:rFonts w:ascii="Times New Roman" w:hAnsi="Times New Roman" w:cs="Times New Roman"/>
          <w:sz w:val="26"/>
          <w:szCs w:val="26"/>
        </w:rPr>
        <w:t>г.</w:t>
      </w:r>
    </w:p>
    <w:p w:rsidR="005959E0" w:rsidRPr="005406F3" w:rsidRDefault="005959E0" w:rsidP="005959E0">
      <w:pPr>
        <w:spacing w:after="0"/>
        <w:rPr>
          <w:szCs w:val="28"/>
        </w:rPr>
      </w:pPr>
    </w:p>
    <w:p w:rsidR="005959E0" w:rsidRDefault="005959E0" w:rsidP="005959E0">
      <w:pPr>
        <w:widowControl w:val="0"/>
      </w:pPr>
    </w:p>
    <w:p w:rsidR="005959E0" w:rsidRDefault="005959E0" w:rsidP="005959E0">
      <w:pPr>
        <w:widowControl w:val="0"/>
      </w:pPr>
    </w:p>
    <w:p w:rsidR="005959E0" w:rsidRDefault="005959E0" w:rsidP="005959E0">
      <w:pPr>
        <w:widowControl w:val="0"/>
      </w:pPr>
    </w:p>
    <w:p w:rsidR="005959E0" w:rsidRDefault="005959E0" w:rsidP="005959E0">
      <w:pPr>
        <w:widowControl w:val="0"/>
      </w:pPr>
    </w:p>
    <w:p w:rsidR="005959E0" w:rsidRPr="006C5F56" w:rsidRDefault="005959E0" w:rsidP="005959E0">
      <w:pPr>
        <w:widowControl w:val="0"/>
      </w:pPr>
    </w:p>
    <w:p w:rsidR="005959E0" w:rsidRPr="006C5F56" w:rsidRDefault="005959E0" w:rsidP="005959E0">
      <w:pPr>
        <w:widowControl w:val="0"/>
      </w:pPr>
    </w:p>
    <w:p w:rsidR="005959E0" w:rsidRPr="00475AF2" w:rsidRDefault="005959E0" w:rsidP="005959E0">
      <w:pPr>
        <w:widowControl w:val="0"/>
        <w:rPr>
          <w:sz w:val="26"/>
          <w:szCs w:val="26"/>
        </w:rPr>
      </w:pPr>
    </w:p>
    <w:p w:rsidR="005959E0" w:rsidRPr="00475AF2" w:rsidRDefault="005959E0" w:rsidP="005959E0">
      <w:pPr>
        <w:widowControl w:val="0"/>
        <w:rPr>
          <w:sz w:val="26"/>
          <w:szCs w:val="26"/>
        </w:rPr>
      </w:pPr>
    </w:p>
    <w:p w:rsidR="005959E0" w:rsidRPr="00475AF2" w:rsidRDefault="005959E0" w:rsidP="005959E0">
      <w:pPr>
        <w:widowControl w:val="0"/>
        <w:rPr>
          <w:sz w:val="26"/>
          <w:szCs w:val="26"/>
        </w:rPr>
      </w:pPr>
    </w:p>
    <w:p w:rsidR="005959E0" w:rsidRPr="00475AF2" w:rsidRDefault="005959E0" w:rsidP="00595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Содержание</w:t>
      </w:r>
    </w:p>
    <w:p w:rsidR="005959E0" w:rsidRPr="00475AF2" w:rsidRDefault="005959E0" w:rsidP="005959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1. Общие положения…………………………………………………………….3</w:t>
      </w:r>
    </w:p>
    <w:p w:rsidR="005959E0" w:rsidRPr="00475AF2" w:rsidRDefault="005959E0" w:rsidP="005959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 Требования к проведению экспертизы проекта </w:t>
      </w:r>
    </w:p>
    <w:p w:rsidR="005959E0" w:rsidRPr="00475AF2" w:rsidRDefault="005959E0" w:rsidP="005959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муниципальной программы…………………………………………………….5</w:t>
      </w:r>
    </w:p>
    <w:p w:rsidR="005959E0" w:rsidRPr="00475AF2" w:rsidRDefault="005959E0" w:rsidP="005959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3. Требования к оформлению результатов………………………..…..............7</w:t>
      </w:r>
    </w:p>
    <w:p w:rsidR="005959E0" w:rsidRPr="00475AF2" w:rsidRDefault="005959E0" w:rsidP="005959E0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5959E0" w:rsidRPr="00475AF2" w:rsidRDefault="005959E0" w:rsidP="005959E0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5959E0" w:rsidRPr="00475AF2" w:rsidRDefault="005959E0" w:rsidP="005959E0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5959E0" w:rsidRPr="00475AF2" w:rsidRDefault="005959E0" w:rsidP="005959E0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5959E0" w:rsidRPr="00475AF2" w:rsidRDefault="005959E0" w:rsidP="005959E0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5959E0" w:rsidRPr="00475AF2" w:rsidRDefault="005959E0" w:rsidP="005959E0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5959E0" w:rsidRPr="00475AF2" w:rsidRDefault="005959E0" w:rsidP="005959E0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5959E0" w:rsidRPr="00475AF2" w:rsidRDefault="005959E0" w:rsidP="005959E0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5959E0" w:rsidRPr="00475AF2" w:rsidRDefault="005959E0" w:rsidP="005959E0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5959E0" w:rsidRPr="00475AF2" w:rsidRDefault="005959E0" w:rsidP="005959E0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5959E0" w:rsidRPr="00475AF2" w:rsidRDefault="005959E0" w:rsidP="005959E0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5959E0" w:rsidRPr="00475AF2" w:rsidRDefault="005959E0" w:rsidP="005959E0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5959E0" w:rsidRPr="00475AF2" w:rsidRDefault="005959E0" w:rsidP="005959E0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5959E0" w:rsidRPr="00475AF2" w:rsidRDefault="005959E0" w:rsidP="005959E0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5959E0" w:rsidRPr="00475AF2" w:rsidRDefault="005959E0" w:rsidP="005959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1. Общие положения.</w:t>
      </w:r>
    </w:p>
    <w:p w:rsidR="005959E0" w:rsidRPr="00475AF2" w:rsidRDefault="005959E0" w:rsidP="005959E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1.1. Стандарт внешнего муниципального финансового контроля </w:t>
      </w: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«Финансово-экономическая экспертиза проектов муниципальных  программ»  </w:t>
      </w:r>
      <w:r w:rsidRPr="00475AF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(далее – Стандарт) </w:t>
      </w: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подготовлен для организации исполнения ст. 157 Бюджетного кодекса Российской Федерации</w:t>
      </w:r>
      <w:r w:rsidRPr="00475AF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, разработан в соответствии с Федеральным законом от 07.02.2011 № 6-ФЗ «Об общих принципах организации и деятельности контрольно-счетных органов субъектов Российской Федерации и муниципальных образований», Общими требованиями к стандартам внешнего государственного и муниципального финансового контроля, утвержденными Коллегией Счетной палаты Российской Федерации (протокол от 12 мая 2012 года № 21К (854)</w:t>
      </w:r>
      <w:r w:rsidRPr="00475AF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, </w:t>
      </w: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положения «О Контрольно-ревизионной комиссии МО «Селенгинский район», утвержденного решением Совета  депутатов муниципального образования «Селенгинский район» от 16.11.2011г. № 223.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1.2.При подготовке настоящего Стандарта был использован Стандарт СФК  «Финансово-экономическая экспертиза проектов муниципальных  программ», утвержденный решением  Президиума МКСО, протокол заседания Президиума Союза МКСО от 19.05.2013  № 2(33). 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1.3. Стандарт определяет общие требования и принципы проведения Контрольно-ревизионной комиссией муниципального образования «Селенгинский  район» (далее КРК) финансово-экономической экспертизы проектов муниципальных программ, а также проектов изменений действующих муниципальных программ (далее – муниципальных программ) в пределах полномочий КРК.</w:t>
      </w:r>
    </w:p>
    <w:p w:rsidR="005959E0" w:rsidRPr="00475AF2" w:rsidRDefault="005959E0" w:rsidP="005959E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1.4. Стандарт является обязательным к применению должностными лицами КРК и привлеченными экспертами, участвующими в проведении финансово-экономической экспертизы проектов муниципальных программ.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1.5. Основные термины и понятия: 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финансово-экономическая экспертиза проекта муниципальной программы – экспертно-аналитическое мероприятие, представляющее собой исследование на предварительном этапе контроля с целью оценить проект нормативного правового акта с точки зрения обеспеченности проектируемых нормативных решений финансовыми, организационными и иными мерами, целесообразности предполагаемых затрат с учетом ожидаемых результатов;</w:t>
      </w:r>
    </w:p>
    <w:p w:rsidR="005959E0" w:rsidRPr="00475AF2" w:rsidRDefault="005959E0" w:rsidP="005959E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целевые (индикативные) показатели, индикаторы – показатели, установленные программой, для оценки степени достижения поставленных программой целей и задач. </w:t>
      </w:r>
    </w:p>
    <w:p w:rsidR="005959E0" w:rsidRPr="00475AF2" w:rsidRDefault="005959E0" w:rsidP="005959E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1.6. Финансово-экономическая экспертиза (далее – экспертиза) проектов муниципальных программ осуществляется КРК на основании п. 7 ч. 2 ст. 9 Федерального закона от 07.02.2011 </w:t>
      </w:r>
      <w:r w:rsidRPr="00475AF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№ 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положения «О Контрольно-счетной комиссии МО </w:t>
      </w: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«Селенгинский район», утвержденного решением Совета  депутатов муниципального образования «Селенгинский район» от 16.12.2011г. № 223.</w:t>
      </w:r>
    </w:p>
    <w:p w:rsidR="005959E0" w:rsidRPr="00475AF2" w:rsidRDefault="005959E0" w:rsidP="005959E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1.7. Экспертизы проектов муниципальных программ являются экспертно-аналитическими мероприятиями, проводимыми в рамках предварительного контроля правовых актов. </w:t>
      </w:r>
    </w:p>
    <w:p w:rsidR="005959E0" w:rsidRPr="00475AF2" w:rsidRDefault="005959E0" w:rsidP="005959E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1.8. Экспертиза проектов муниципальных программ или изменений муниципальных  программ КРК проводится в случае направления субъектом правотворческой инициативы (органами местного самоуправления) проектов муниципальных программ (или изменений к ним)  для проведения финансово-экономической экспертизы. </w:t>
      </w:r>
    </w:p>
    <w:p w:rsidR="005959E0" w:rsidRPr="00475AF2" w:rsidRDefault="005959E0" w:rsidP="005959E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1.9.  Целью финансово-экономической экспертизы является подтверждение полномочий по установлению/изменению расходного обязательства, подтверждение обоснованности размера расходного обязательства, установление экономических последствий принятия нового/изменения действующего расходного обязательства для бюджета муниципального образования.</w:t>
      </w:r>
    </w:p>
    <w:p w:rsidR="005959E0" w:rsidRPr="00475AF2" w:rsidRDefault="005959E0" w:rsidP="005959E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1.10. Экспертиза проекта муниципальной программы включает оценку его соответствия Программе комплексного социально-экономического развития муниципального образования, нормам, установленным законами и иными нормативными правовыми актами Российской Федерации, субъектов Российской Федерации, муниципального образования в соответствующей сфере.</w:t>
      </w:r>
    </w:p>
    <w:p w:rsidR="005959E0" w:rsidRPr="00475AF2" w:rsidRDefault="005959E0" w:rsidP="005959E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1.11. Заключение КРК по итогам экспертизы не должно содержать политических оценок проекта муниципальной программы.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1.12. Основными задачами экспертизы проекта муниципальной программы является оценка:</w:t>
      </w:r>
    </w:p>
    <w:p w:rsidR="005959E0" w:rsidRPr="00475AF2" w:rsidRDefault="005959E0" w:rsidP="005959E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- соответствия положений проекта муниципальной программы нормам законов и иных нормативных правовых актов;</w:t>
      </w:r>
    </w:p>
    <w:p w:rsidR="005959E0" w:rsidRPr="00475AF2" w:rsidRDefault="005959E0" w:rsidP="005959E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-  полноты анализа предметной ситуации и ее факторов;</w:t>
      </w:r>
    </w:p>
    <w:p w:rsidR="005959E0" w:rsidRPr="00475AF2" w:rsidRDefault="005959E0" w:rsidP="005959E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-  корректности определения ожидаемых результатов, целевых показателей (индикаторов) муниципальной программы;</w:t>
      </w:r>
    </w:p>
    <w:p w:rsidR="005959E0" w:rsidRPr="00475AF2" w:rsidRDefault="005959E0" w:rsidP="005959E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-  целостности и связанности задач муниципальной программы и мероприятий по их выполнению;</w:t>
      </w:r>
    </w:p>
    <w:p w:rsidR="005959E0" w:rsidRPr="00475AF2" w:rsidRDefault="005959E0" w:rsidP="005959E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обоснованности заявленных финансовых потребностей муниципальной программы. 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1.13. Финансово-экономической экспертизе подлежат проекты муниципальных программ или проекты внесения изменений в программы.  В случае повторного направления в КРК проекта муниципальной программы (проекта изменений в муниципальную программу) после устранения замечаний и рассмотрения предложений КРК,  проводится повторная финансово-экономическая экспертиза.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1.14. Дополнительная финансово-экономическая экспертиза может проводиться в случае недостаточности информации и документов для подготовки заключения при условии направления в КРК дополнительной информации и </w:t>
      </w: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документов вместе с проектом муниципальной программы (проектом изменений в муниципальную программу). 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Также дополнительная финансово-экономическая экспертиза может проводиться при единичных изменениях параметров программы, не связанных с целями, задачами, сводными мероприятиями (например, корректировка объема финансирования отдельных мероприятий) при наличии заключения по итогам финансово-экономической экспертизы ранее рассмотренного варианта проекта.</w:t>
      </w:r>
    </w:p>
    <w:p w:rsidR="005959E0" w:rsidRPr="00475AF2" w:rsidRDefault="005959E0" w:rsidP="005959E0">
      <w:pPr>
        <w:spacing w:before="100" w:beforeAutospacing="1" w:after="100" w:afterAutospacing="1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> </w:t>
      </w:r>
      <w:r w:rsidRPr="00475A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  2. Требования к проведению экспертизы проекта</w:t>
      </w:r>
    </w:p>
    <w:p w:rsidR="005959E0" w:rsidRPr="00475AF2" w:rsidRDefault="005959E0" w:rsidP="005959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муниципальной программы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2.1. Объем экспертизы проекта муниципальной программы определяется должностным лицом КРК, ответственным за ее проведение, исходя из целей и задач экспертизы и условий ее проведения (срока подготовки заключения, а также полноты представленных материалов и качества их оформления). 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2.2. При проведении экспертизы проекта муниципальной программы учитываются результаты ранее проведенных контрольных и экспертно-аналитических мероприятий в соответствующей сфере формирования и использования средств муниципального образования. 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2.3. В ходе проведения экспертизы проектов муниципальных программ подлежат рассмотрению следующие вопросы: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-            соответствие целей программы поставленной проблеме, соответствие планируемых задач целям программы;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-            соответствие целей, задач программы Программе комплексного социально-экономического развития муниципального образования;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-            четкость формулировок целей и задач, их конкретность и реальная достижимость в установленные сроки реализации программы;</w:t>
      </w:r>
    </w:p>
    <w:p w:rsidR="005959E0" w:rsidRPr="00475AF2" w:rsidRDefault="005959E0" w:rsidP="005959E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-            наличие измеряемых (натуральных и стоимостных) показателей, позволяющих оценить степень достижения целей и выполнения задач;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-            взаимосвязанность программных мероприятий, в том числе по срокам реализации, отсутствие дублирования мероприятий других действующих/принимаемых программ;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-            соответствие программных мероприятий целям и задачам программы;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-            наличие и обоснованность промежуточных планируемых результатов;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-            обоснованность объемов финансирования программных мероприятий;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-            обоснованность источников финансирования и их структуры по программным мероприятиям;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-            обоснованность объемов и механизма привлечения внебюджетных источников финансирования, полноты использования возможностей привлечения средств иных бюджетов бюджетной системы Российской Федерации, а также средств иных источников для реализации муниципальной программы;</w:t>
      </w:r>
    </w:p>
    <w:p w:rsidR="005959E0" w:rsidRPr="00475AF2" w:rsidRDefault="005959E0" w:rsidP="005959E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-  четкая формулировка, простота понимания индикаторов (целевых, индикативных показателей);</w:t>
      </w:r>
    </w:p>
    <w:p w:rsidR="005959E0" w:rsidRPr="00475AF2" w:rsidRDefault="005959E0" w:rsidP="005959E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-                     наличие достоверного источника информации или методики расчета индикаторов (целевых, индикативных показателей);</w:t>
      </w:r>
    </w:p>
    <w:p w:rsidR="005959E0" w:rsidRPr="00475AF2" w:rsidRDefault="005959E0" w:rsidP="005959E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-                     наличие взаимосвязи между индикаторами (целевыми, индикативными показателями) и программными мероприятиями;</w:t>
      </w:r>
    </w:p>
    <w:p w:rsidR="005959E0" w:rsidRPr="00475AF2" w:rsidRDefault="005959E0" w:rsidP="005959E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-                     наличие ответственных исполнителей (координаторов) за реализацию программы в целом и за исполнение отдельных программных мероприятий;</w:t>
      </w:r>
    </w:p>
    <w:p w:rsidR="005959E0" w:rsidRPr="00475AF2" w:rsidRDefault="005959E0" w:rsidP="005959E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-                     механизм управления программой, в том числе схемы мониторинга реализации программы и взаимодействия заказчиков и исполнителей программных мероприятий.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2.4. Экспертиза проектов об изменении муниципальных программ осуществляется в порядке, определенном для экспертизы проекта муниципальной программы с освещением вопросов правомерности и обоснованности предлагаемых изменений муниципальной программы, соответствия их показателям бюджета муниципального образования, а также: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-          корректности предлагаемых изменений;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-                     логичности предлагаемых изменений (отсутствие внутренних противоречий в новом варианте программы; согласованность изменений финансирования, программных мероприятий, целевых (индикативных) показателей и ожидаемых результатов);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-                     целесообразности предлагаемых изменений;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-                     устранения или сохранения нарушений и недостатков программы, отмеченных КРК по результатам экспертизы проекта программы.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2.5. Срок проведения экспертизы проекта муниципальной программы составляет исходя из п.2.1. Стандарта.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5959E0" w:rsidRPr="00475AF2" w:rsidRDefault="005959E0" w:rsidP="005959E0">
      <w:pPr>
        <w:spacing w:before="100" w:beforeAutospacing="1" w:after="100" w:afterAutospacing="1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>3. Требования к оформлению результатов экспертизы</w:t>
      </w:r>
    </w:p>
    <w:p w:rsidR="005959E0" w:rsidRPr="00475AF2" w:rsidRDefault="005959E0" w:rsidP="005959E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3.1. По результатам проведения финансово-экономической экспертизы проекта муниципальной программы (далее – заключение) составляется заключение КРК.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3.2. Заключение состоит из вводной и содержательной частей.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3.3. Во вводной части заключения указываются реквизиты документов, на основании и с учетом которых проведена экспертиза, перечень документов, предоставленных с проектом муниципальной программы, перечень дополнительно запрошенных и/или изученных в ходе экспертизы документов, материалы которых были учтены при подготовке заключения, описываются исследуемые расходные обязательства. </w:t>
      </w:r>
    </w:p>
    <w:p w:rsidR="005959E0" w:rsidRPr="00475AF2" w:rsidRDefault="005959E0" w:rsidP="005959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          3.4. В содержательной части заключения исследуется вопросы, указанные в п.2.4. Стандарта.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Обязательно в содержательной части приводятся данные об общем объеме финансирования, в том числе по годам, при рассмотрении проекта вновь принимаемой программы, о сумме изменения объемов финансирования при рассмотрении проекта корректировки программы.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3.5. В случае необходимости проведения повторной или дополнительной финансово-экономической экспертизы,  во вводной части указывается причина их проведения (устранение замечаний, предоставление дополнительных документов, изменение первоначального проекта муниципальной программы, в т.ч. объемов финансирования). В содержательной части по итогам повторной экспертизы необходимо описать устраненные по рекомендации КРК нарушения и недостатки.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3.6. При обнаружении в ходе проведения экспертизы рисков коррупциогенных факторов в заключении КРК по итогам экспертизы должна быть отражена соответствующая информация. Коррупциогенные факторы определяются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№ 96.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3.7. Все суждения и оценки, отраженные в заключении, должны подтверждаться ссылками на исследованные положения проекта муниципальной программы и (при необходимости) на действующее законодательство, положения нормативно-правовых актов муниципального образования.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3.8. В заключении по итогам финансово-экономической экспертизы КРК даются рекомендации по утверждению или отклонению представленного проекта. В заключении выражается мнение о необходимости рассмотрения разработчиком программы замечаний и предложений, изложенных в заключении, внесения изменений в проект программы, либо информация об отсутствии замечаний и предложений по итогам экспертизы.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3.9. Заключение КРК по итогам финансово-экономической экспертизы проекта муниципальной программы (проекта изменений в муниципальную программу) подписывается Председателем КРК . Заключение направляется с сопроводительным письмом субъекту правотворческой инициативы, от которого проект был получен для проведения финансово-экономической экспертизы. </w:t>
      </w:r>
    </w:p>
    <w:p w:rsidR="005959E0" w:rsidRPr="00475AF2" w:rsidRDefault="005959E0" w:rsidP="00595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AF2">
        <w:rPr>
          <w:rFonts w:ascii="Times New Roman" w:eastAsia="Times New Roman" w:hAnsi="Times New Roman" w:cs="Times New Roman"/>
          <w:color w:val="000000"/>
          <w:sz w:val="26"/>
          <w:szCs w:val="26"/>
        </w:rPr>
        <w:t>3.10. Информационное письмо со сведениями о результатах проведенной финансово-экономической экспертизы может быть направлено Главе муниципального образования, руководителю администрации/Председателю представительного органа муниципального образования по инициативе Председателя КРК или по запросу указанных лиц.</w:t>
      </w:r>
    </w:p>
    <w:p w:rsidR="005959E0" w:rsidRPr="00475AF2" w:rsidRDefault="005959E0" w:rsidP="005959E0">
      <w:pPr>
        <w:rPr>
          <w:sz w:val="26"/>
          <w:szCs w:val="26"/>
        </w:rPr>
      </w:pPr>
    </w:p>
    <w:p w:rsidR="005959E0" w:rsidRPr="00475AF2" w:rsidRDefault="005959E0" w:rsidP="005959E0">
      <w:pPr>
        <w:rPr>
          <w:sz w:val="26"/>
          <w:szCs w:val="26"/>
        </w:rPr>
      </w:pPr>
    </w:p>
    <w:p w:rsidR="00DB262F" w:rsidRPr="005959E0" w:rsidRDefault="00DB262F" w:rsidP="005959E0">
      <w:pPr>
        <w:rPr>
          <w:szCs w:val="28"/>
          <w:shd w:val="clear" w:color="auto" w:fill="E9E9E9"/>
        </w:rPr>
      </w:pPr>
    </w:p>
    <w:sectPr w:rsidR="00DB262F" w:rsidRPr="005959E0" w:rsidSect="00122A9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167" w:rsidRDefault="00534167" w:rsidP="001853CB">
      <w:pPr>
        <w:spacing w:after="0" w:line="240" w:lineRule="auto"/>
      </w:pPr>
      <w:r>
        <w:separator/>
      </w:r>
    </w:p>
  </w:endnote>
  <w:endnote w:type="continuationSeparator" w:id="1">
    <w:p w:rsidR="00534167" w:rsidRDefault="00534167" w:rsidP="00185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11990"/>
      <w:docPartObj>
        <w:docPartGallery w:val="Page Numbers (Bottom of Page)"/>
        <w:docPartUnique/>
      </w:docPartObj>
    </w:sdtPr>
    <w:sdtContent>
      <w:p w:rsidR="00450947" w:rsidRDefault="00FA08C4">
        <w:pPr>
          <w:pStyle w:val="a5"/>
          <w:jc w:val="right"/>
        </w:pPr>
        <w:r>
          <w:fldChar w:fldCharType="begin"/>
        </w:r>
        <w:r w:rsidR="005959E0">
          <w:instrText xml:space="preserve"> PAGE   \* MERGEFORMAT </w:instrText>
        </w:r>
        <w:r>
          <w:fldChar w:fldCharType="separate"/>
        </w:r>
        <w:r w:rsidR="00CF1732">
          <w:rPr>
            <w:noProof/>
          </w:rPr>
          <w:t>1</w:t>
        </w:r>
        <w:r>
          <w:fldChar w:fldCharType="end"/>
        </w:r>
      </w:p>
    </w:sdtContent>
  </w:sdt>
  <w:p w:rsidR="00450947" w:rsidRDefault="0053416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167" w:rsidRDefault="00534167" w:rsidP="001853CB">
      <w:pPr>
        <w:spacing w:after="0" w:line="240" w:lineRule="auto"/>
      </w:pPr>
      <w:r>
        <w:separator/>
      </w:r>
    </w:p>
  </w:footnote>
  <w:footnote w:type="continuationSeparator" w:id="1">
    <w:p w:rsidR="00534167" w:rsidRDefault="00534167" w:rsidP="00185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4BD4"/>
    <w:rsid w:val="00014BE5"/>
    <w:rsid w:val="00120898"/>
    <w:rsid w:val="001853CB"/>
    <w:rsid w:val="001C32ED"/>
    <w:rsid w:val="00470BA6"/>
    <w:rsid w:val="00515B6B"/>
    <w:rsid w:val="00526EB9"/>
    <w:rsid w:val="00534167"/>
    <w:rsid w:val="00571D21"/>
    <w:rsid w:val="005959E0"/>
    <w:rsid w:val="006D37AA"/>
    <w:rsid w:val="009456BF"/>
    <w:rsid w:val="00965604"/>
    <w:rsid w:val="00BF4BD4"/>
    <w:rsid w:val="00CF1732"/>
    <w:rsid w:val="00DB262F"/>
    <w:rsid w:val="00E20DA7"/>
    <w:rsid w:val="00E937DE"/>
    <w:rsid w:val="00F64E3A"/>
    <w:rsid w:val="00FA0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D2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9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9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F4BD4"/>
  </w:style>
  <w:style w:type="character" w:styleId="a4">
    <w:name w:val="Hyperlink"/>
    <w:basedOn w:val="a0"/>
    <w:uiPriority w:val="99"/>
    <w:semiHidden/>
    <w:unhideWhenUsed/>
    <w:rsid w:val="00BF4BD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959E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5">
    <w:name w:val="footer"/>
    <w:basedOn w:val="a"/>
    <w:link w:val="a6"/>
    <w:uiPriority w:val="99"/>
    <w:unhideWhenUsed/>
    <w:rsid w:val="005959E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959E0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959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ConsTitle">
    <w:name w:val="ConsTitle"/>
    <w:rsid w:val="005959E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9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59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9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63072">
                      <w:marLeft w:val="187"/>
                      <w:marRight w:val="187"/>
                      <w:marTop w:val="9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79752">
                      <w:marLeft w:val="187"/>
                      <w:marRight w:val="187"/>
                      <w:marTop w:val="9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4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1932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СовДеп</dc:creator>
  <cp:keywords/>
  <dc:description/>
  <cp:lastModifiedBy>СовДеп</cp:lastModifiedBy>
  <cp:revision>5</cp:revision>
  <cp:lastPrinted>2016-12-20T05:16:00Z</cp:lastPrinted>
  <dcterms:created xsi:type="dcterms:W3CDTF">2017-01-31T01:10:00Z</dcterms:created>
  <dcterms:modified xsi:type="dcterms:W3CDTF">2017-02-16T02:04:00Z</dcterms:modified>
</cp:coreProperties>
</file>